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658C0" w14:textId="157D3DF1" w:rsidR="001A30A2" w:rsidRPr="001A30A2" w:rsidRDefault="006B4499" w:rsidP="001A30A2">
      <w:pPr>
        <w:rPr>
          <w:b/>
          <w:bCs/>
          <w:kern w:val="36"/>
          <w:sz w:val="28"/>
          <w:szCs w:val="28"/>
          <w:bdr w:val="none" w:sz="0" w:space="0" w:color="auto" w:frame="1"/>
        </w:rPr>
      </w:pPr>
      <w:r w:rsidRPr="001A30A2">
        <w:rPr>
          <w:b/>
          <w:bCs/>
          <w:kern w:val="36"/>
          <w:sz w:val="28"/>
          <w:szCs w:val="28"/>
          <w:bdr w:val="none" w:sz="0" w:space="0" w:color="auto" w:frame="1"/>
        </w:rPr>
        <w:t>SALUTE ORALE DI MAMMA E BAMBINO NEI PRIM</w:t>
      </w:r>
      <w:r w:rsidR="00252194" w:rsidRPr="001A30A2">
        <w:rPr>
          <w:b/>
          <w:bCs/>
          <w:kern w:val="36"/>
          <w:sz w:val="28"/>
          <w:szCs w:val="28"/>
          <w:bdr w:val="none" w:sz="0" w:space="0" w:color="auto" w:frame="1"/>
        </w:rPr>
        <w:t>I</w:t>
      </w:r>
      <w:r w:rsidRPr="001A30A2">
        <w:rPr>
          <w:b/>
          <w:bCs/>
          <w:kern w:val="36"/>
          <w:sz w:val="28"/>
          <w:szCs w:val="28"/>
          <w:bdr w:val="none" w:sz="0" w:space="0" w:color="auto" w:frame="1"/>
        </w:rPr>
        <w:t xml:space="preserve"> 1000 GIORNI</w:t>
      </w:r>
      <w:r w:rsidR="00D11927" w:rsidRPr="001A30A2">
        <w:rPr>
          <w:b/>
          <w:bCs/>
          <w:kern w:val="36"/>
          <w:sz w:val="28"/>
          <w:szCs w:val="28"/>
          <w:bdr w:val="none" w:sz="0" w:space="0" w:color="auto" w:frame="1"/>
        </w:rPr>
        <w:t xml:space="preserve">: </w:t>
      </w:r>
      <w:r w:rsidR="001A30A2" w:rsidRPr="001A30A2">
        <w:rPr>
          <w:b/>
          <w:bCs/>
          <w:kern w:val="36"/>
          <w:sz w:val="28"/>
          <w:szCs w:val="28"/>
          <w:bdr w:val="none" w:sz="0" w:space="0" w:color="auto" w:frame="1"/>
        </w:rPr>
        <w:t>come la tec</w:t>
      </w:r>
      <w:r w:rsidR="001A30A2" w:rsidRPr="001A30A2">
        <w:rPr>
          <w:b/>
          <w:bCs/>
          <w:kern w:val="36"/>
          <w:sz w:val="28"/>
          <w:szCs w:val="28"/>
          <w:bdr w:val="none" w:sz="0" w:space="0" w:color="auto" w:frame="1"/>
        </w:rPr>
        <w:t>nologia e la scienza possono venire incontro al messaggio dei professionisti</w:t>
      </w:r>
    </w:p>
    <w:p w14:paraId="671BAF5B" w14:textId="0DA03198" w:rsidR="008B2506" w:rsidRPr="001A30A2" w:rsidRDefault="008B2506" w:rsidP="001A30A2">
      <w:pPr>
        <w:pStyle w:val="Titolo1"/>
        <w:jc w:val="center"/>
        <w:rPr>
          <w:sz w:val="28"/>
          <w:szCs w:val="28"/>
          <w:bdr w:val="none" w:sz="0" w:space="0" w:color="auto" w:frame="1"/>
        </w:rPr>
      </w:pPr>
      <w:r w:rsidRPr="001A30A2">
        <w:rPr>
          <w:sz w:val="28"/>
          <w:szCs w:val="28"/>
          <w:bdr w:val="none" w:sz="0" w:space="0" w:color="auto" w:frame="1"/>
        </w:rPr>
        <w:t xml:space="preserve">Un obiettivo comune per </w:t>
      </w:r>
      <w:r w:rsidR="00E326F6" w:rsidRPr="001A30A2">
        <w:rPr>
          <w:sz w:val="28"/>
          <w:szCs w:val="28"/>
          <w:bdr w:val="none" w:sz="0" w:space="0" w:color="auto" w:frame="1"/>
        </w:rPr>
        <w:t>di</w:t>
      </w:r>
      <w:r w:rsidR="001A30A2" w:rsidRPr="001A30A2">
        <w:rPr>
          <w:sz w:val="28"/>
          <w:szCs w:val="28"/>
          <w:bdr w:val="none" w:sz="0" w:space="0" w:color="auto" w:frame="1"/>
        </w:rPr>
        <w:t>verse categorie</w:t>
      </w:r>
      <w:r w:rsidR="00D11927" w:rsidRPr="001A30A2">
        <w:rPr>
          <w:sz w:val="28"/>
          <w:szCs w:val="28"/>
          <w:bdr w:val="none" w:sz="0" w:space="0" w:color="auto" w:frame="1"/>
        </w:rPr>
        <w:t>:</w:t>
      </w:r>
      <w:r w:rsidRPr="001A30A2">
        <w:rPr>
          <w:sz w:val="28"/>
          <w:szCs w:val="28"/>
          <w:bdr w:val="none" w:sz="0" w:space="0" w:color="auto" w:frame="1"/>
        </w:rPr>
        <w:t xml:space="preserve"> </w:t>
      </w:r>
      <w:r w:rsidR="00E326F6" w:rsidRPr="001A30A2">
        <w:rPr>
          <w:sz w:val="28"/>
          <w:szCs w:val="28"/>
          <w:bdr w:val="none" w:sz="0" w:space="0" w:color="auto" w:frame="1"/>
        </w:rPr>
        <w:t>os</w:t>
      </w:r>
      <w:r w:rsidRPr="001A30A2">
        <w:rPr>
          <w:sz w:val="28"/>
          <w:szCs w:val="28"/>
          <w:bdr w:val="none" w:sz="0" w:space="0" w:color="auto" w:frame="1"/>
        </w:rPr>
        <w:t>tetriche, ginecologi, pediatri, farmacisti, odontoiatri pediatrici ed igienisti</w:t>
      </w:r>
      <w:r w:rsidR="00E326F6" w:rsidRPr="001A30A2">
        <w:rPr>
          <w:sz w:val="28"/>
          <w:szCs w:val="28"/>
          <w:bdr w:val="none" w:sz="0" w:space="0" w:color="auto" w:frame="1"/>
        </w:rPr>
        <w:t xml:space="preserve"> dentali</w:t>
      </w:r>
    </w:p>
    <w:p w14:paraId="41388242" w14:textId="77777777" w:rsidR="00250F5D" w:rsidRPr="00250F5D" w:rsidRDefault="00250F5D" w:rsidP="00250F5D"/>
    <w:p w14:paraId="7EBCF29C" w14:textId="529F1307" w:rsidR="006B4499" w:rsidRPr="00303CCE" w:rsidRDefault="006B4499" w:rsidP="00303CCE">
      <w:pPr>
        <w:shd w:val="clear" w:color="auto" w:fill="FFFFFF"/>
        <w:spacing w:line="276" w:lineRule="atLeast"/>
        <w:jc w:val="center"/>
        <w:outlineLvl w:val="0"/>
        <w:rPr>
          <w:rFonts w:ascii="Calibri Light" w:eastAsia="Times New Roman" w:hAnsi="Calibri Light" w:cs="Calibri Light"/>
        </w:rPr>
      </w:pPr>
      <w:r w:rsidRPr="00303CCE">
        <w:rPr>
          <w:rFonts w:ascii="Calibri Light" w:eastAsia="Times New Roman" w:hAnsi="Calibri Light" w:cs="Calibri Light"/>
        </w:rPr>
        <w:t>L</w:t>
      </w:r>
      <w:r w:rsidR="00957CE2">
        <w:rPr>
          <w:rFonts w:ascii="Calibri Light" w:eastAsia="Times New Roman" w:hAnsi="Calibri Light" w:cs="Calibri Light"/>
        </w:rPr>
        <w:t>uigi</w:t>
      </w:r>
      <w:r w:rsidRPr="00303CCE">
        <w:rPr>
          <w:rFonts w:ascii="Calibri Light" w:eastAsia="Times New Roman" w:hAnsi="Calibri Light" w:cs="Calibri Light"/>
        </w:rPr>
        <w:t xml:space="preserve"> PAGLIA</w:t>
      </w:r>
      <w:r w:rsidR="00134D7E">
        <w:rPr>
          <w:rFonts w:ascii="Calibri Light" w:eastAsia="Times New Roman" w:hAnsi="Calibri Light" w:cs="Calibri Light"/>
        </w:rPr>
        <w:t xml:space="preserve"> – Silvia CARUSO</w:t>
      </w:r>
    </w:p>
    <w:p w14:paraId="6BCBEF27" w14:textId="480B9CE8" w:rsidR="006B4499" w:rsidRPr="006B4499" w:rsidRDefault="00303CCE" w:rsidP="00E713EC">
      <w:pPr>
        <w:shd w:val="clear" w:color="auto" w:fill="FFFFFF"/>
        <w:spacing w:line="276" w:lineRule="atLeast"/>
        <w:jc w:val="both"/>
        <w:rPr>
          <w:rFonts w:ascii="Cambria" w:hAnsi="Cambria"/>
          <w:i/>
          <w:color w:val="000000"/>
        </w:rPr>
      </w:pPr>
      <w:r w:rsidRPr="00303CCE">
        <w:rPr>
          <w:b/>
          <w:noProof/>
          <w:lang w:val="en-US" w:eastAsia="en-US"/>
        </w:rPr>
        <w:drawing>
          <wp:inline distT="0" distB="0" distL="0" distR="0" wp14:anchorId="008F45EE" wp14:editId="060C6A75">
            <wp:extent cx="6116320" cy="936625"/>
            <wp:effectExtent l="0" t="0" r="0" b="0"/>
            <wp:docPr id="2" name="Immagine 1" descr="Immagine che contiene testo, guardand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64942E3B-9F0B-A347-8DC9-DE8D931F4E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guardando&#10;&#10;Descrizione generata automaticamente">
                      <a:extLst>
                        <a:ext uri="{FF2B5EF4-FFF2-40B4-BE49-F238E27FC236}">
                          <a16:creationId xmlns:a16="http://schemas.microsoft.com/office/drawing/2014/main" id="{64942E3B-9F0B-A347-8DC9-DE8D931F4E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7303" b="71162" l="4043" r="96809">
                                  <a14:foregroundMark x1="4043" y1="68672" x2="4149" y2="68672"/>
                                  <a14:foregroundMark x1="13191" y1="62448" x2="14043" y2="65975"/>
                                  <a14:foregroundMark x1="14043" y1="65975" x2="13298" y2="69710"/>
                                  <a14:foregroundMark x1="13298" y1="69710" x2="13830" y2="65768"/>
                                  <a14:foregroundMark x1="13830" y1="65768" x2="13298" y2="62448"/>
                                  <a14:foregroundMark x1="12234" y1="70332" x2="11596" y2="69710"/>
                                  <a14:foregroundMark x1="22766" y1="62863" x2="22660" y2="66805"/>
                                  <a14:foregroundMark x1="22660" y1="66805" x2="21170" y2="69502"/>
                                  <a14:foregroundMark x1="21170" y1="69502" x2="22979" y2="65975"/>
                                  <a14:foregroundMark x1="22979" y1="65975" x2="22553" y2="62863"/>
                                  <a14:foregroundMark x1="30745" y1="58299" x2="30000" y2="62241"/>
                                  <a14:foregroundMark x1="30000" y1="62241" x2="29787" y2="66805"/>
                                  <a14:foregroundMark x1="29787" y1="66805" x2="30532" y2="58299"/>
                                  <a14:foregroundMark x1="41064" y1="63485" x2="39149" y2="66183"/>
                                  <a14:foregroundMark x1="39149" y1="66183" x2="40851" y2="63278"/>
                                  <a14:foregroundMark x1="40851" y1="63278" x2="40851" y2="63278"/>
                                  <a14:foregroundMark x1="50426" y1="63071" x2="46702" y2="66390"/>
                                  <a14:foregroundMark x1="46702" y1="66390" x2="48830" y2="66598"/>
                                  <a14:foregroundMark x1="48830" y1="66598" x2="50106" y2="62656"/>
                                  <a14:foregroundMark x1="56809" y1="54357" x2="55426" y2="57261"/>
                                  <a14:foregroundMark x1="55426" y1="57261" x2="56277" y2="61826"/>
                                  <a14:foregroundMark x1="56277" y1="61826" x2="57553" y2="58506"/>
                                  <a14:foregroundMark x1="57553" y1="58506" x2="57021" y2="54772"/>
                                  <a14:foregroundMark x1="57021" y1="54772" x2="56915" y2="54772"/>
                                  <a14:foregroundMark x1="65745" y1="54564" x2="66489" y2="50830"/>
                                  <a14:foregroundMark x1="66489" y1="50830" x2="64787" y2="58091"/>
                                  <a14:foregroundMark x1="64787" y1="58091" x2="65426" y2="61826"/>
                                  <a14:foregroundMark x1="65426" y1="61826" x2="66277" y2="56639"/>
                                  <a14:foregroundMark x1="66277" y1="56639" x2="66064" y2="54149"/>
                                  <a14:foregroundMark x1="73830" y1="52282" x2="73830" y2="60996"/>
                                  <a14:foregroundMark x1="73830" y1="60996" x2="72766" y2="64938"/>
                                  <a14:foregroundMark x1="72766" y1="64938" x2="74362" y2="67220"/>
                                  <a14:foregroundMark x1="74362" y1="67220" x2="73617" y2="51867"/>
                                  <a14:foregroundMark x1="91596" y1="51452" x2="92234" y2="47510"/>
                                  <a14:foregroundMark x1="92234" y1="47510" x2="90638" y2="55187"/>
                                  <a14:foregroundMark x1="90638" y1="55187" x2="90957" y2="59336"/>
                                  <a14:foregroundMark x1="90957" y1="59336" x2="91277" y2="52697"/>
                                  <a14:foregroundMark x1="96596" y1="65975" x2="96809" y2="657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34" b="25763"/>
                    <a:stretch/>
                  </pic:blipFill>
                  <pic:spPr>
                    <a:xfrm>
                      <a:off x="0" y="0"/>
                      <a:ext cx="611632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A4ECD" w14:textId="77777777" w:rsidR="00303CCE" w:rsidRDefault="00303CCE" w:rsidP="00E713EC">
      <w:pPr>
        <w:shd w:val="clear" w:color="auto" w:fill="FFFFFF"/>
        <w:spacing w:line="276" w:lineRule="atLeast"/>
        <w:jc w:val="both"/>
        <w:rPr>
          <w:rFonts w:ascii="Calibri Light" w:hAnsi="Calibri Light" w:cs="Calibri Light"/>
          <w:color w:val="000000"/>
        </w:rPr>
      </w:pPr>
    </w:p>
    <w:p w14:paraId="3B6C0126" w14:textId="77777777" w:rsidR="004A1F7D" w:rsidRDefault="004A1F7D" w:rsidP="00E713EC">
      <w:pPr>
        <w:shd w:val="clear" w:color="auto" w:fill="FFFFFF"/>
        <w:spacing w:line="276" w:lineRule="atLeast"/>
        <w:jc w:val="both"/>
        <w:rPr>
          <w:rFonts w:ascii="Calibri Light" w:hAnsi="Calibri Light" w:cs="Calibri Light"/>
          <w:color w:val="000000"/>
        </w:rPr>
      </w:pPr>
    </w:p>
    <w:p w14:paraId="61A20427" w14:textId="127710B2" w:rsidR="004A1F7D" w:rsidRPr="004E7852" w:rsidRDefault="00E326F6" w:rsidP="004A1F7D">
      <w:pPr>
        <w:shd w:val="clear" w:color="auto" w:fill="FFFFFF"/>
        <w:spacing w:line="276" w:lineRule="auto"/>
        <w:jc w:val="both"/>
        <w:rPr>
          <w:rFonts w:asciiTheme="majorHAnsi" w:hAnsiTheme="majorHAnsi" w:cs="Calibri Light"/>
          <w:color w:val="000000"/>
        </w:rPr>
      </w:pPr>
      <w:r>
        <w:rPr>
          <w:rFonts w:asciiTheme="majorHAnsi" w:hAnsiTheme="majorHAnsi" w:cs="Calibri Light"/>
          <w:color w:val="000000"/>
        </w:rPr>
        <w:t>Recenti evidenze scientifiche dimostrano</w:t>
      </w:r>
      <w:r w:rsidR="004E7852" w:rsidRPr="004E7852">
        <w:rPr>
          <w:rFonts w:asciiTheme="majorHAnsi" w:hAnsiTheme="majorHAnsi" w:cs="Calibri Light"/>
          <w:color w:val="000000"/>
        </w:rPr>
        <w:t xml:space="preserve"> che </w:t>
      </w:r>
      <w:r w:rsidR="004E7852" w:rsidRPr="004E7852">
        <w:rPr>
          <w:rFonts w:asciiTheme="majorHAnsi" w:eastAsia="Times New Roman" w:hAnsiTheme="majorHAnsi"/>
          <w:color w:val="000000"/>
        </w:rPr>
        <w:t>d</w:t>
      </w:r>
      <w:r w:rsidR="004E7852" w:rsidRPr="004A1F7D">
        <w:rPr>
          <w:rFonts w:asciiTheme="majorHAnsi" w:eastAsia="Times New Roman" w:hAnsiTheme="majorHAnsi"/>
          <w:color w:val="000000"/>
        </w:rPr>
        <w:t>urante la gravidanza e ancor prima, da quando la si progetta, si determinano</w:t>
      </w:r>
      <w:r w:rsidR="004E7852" w:rsidRPr="004A1F7D">
        <w:rPr>
          <w:rFonts w:asciiTheme="majorHAnsi" w:eastAsia="Times New Roman" w:hAnsiTheme="majorHAnsi"/>
          <w:color w:val="000000"/>
          <w:bdr w:val="none" w:sz="0" w:space="0" w:color="auto" w:frame="1"/>
        </w:rPr>
        <w:t> </w:t>
      </w:r>
      <w:r w:rsidR="004E7852" w:rsidRPr="004A1F7D">
        <w:rPr>
          <w:rFonts w:asciiTheme="majorHAnsi" w:eastAsia="Times New Roman" w:hAnsiTheme="majorHAnsi"/>
          <w:color w:val="000000"/>
        </w:rPr>
        <w:t>i fattori che influenzeranno il futuro d</w:t>
      </w:r>
      <w:r w:rsidR="004E7852" w:rsidRPr="004E7852">
        <w:rPr>
          <w:rFonts w:asciiTheme="majorHAnsi" w:eastAsia="Times New Roman" w:hAnsiTheme="majorHAnsi"/>
          <w:color w:val="000000"/>
        </w:rPr>
        <w:t>ella salute orale del bambino. </w:t>
      </w:r>
      <w:r w:rsidR="006B14ED">
        <w:rPr>
          <w:rFonts w:asciiTheme="majorHAnsi" w:eastAsia="Times New Roman" w:hAnsiTheme="majorHAnsi"/>
          <w:color w:val="000000"/>
        </w:rPr>
        <w:t>(1-2)</w:t>
      </w:r>
    </w:p>
    <w:p w14:paraId="06DE07D1" w14:textId="7CC84724" w:rsidR="004A1F7D" w:rsidRDefault="004A1F7D" w:rsidP="004A1F7D">
      <w:pPr>
        <w:shd w:val="clear" w:color="auto" w:fill="FFFFFF"/>
        <w:spacing w:line="276" w:lineRule="auto"/>
        <w:jc w:val="both"/>
        <w:rPr>
          <w:rFonts w:asciiTheme="majorHAnsi" w:eastAsia="Times New Roman" w:hAnsiTheme="majorHAnsi"/>
          <w:color w:val="000000"/>
        </w:rPr>
      </w:pPr>
      <w:r w:rsidRPr="004A1F7D">
        <w:rPr>
          <w:rFonts w:asciiTheme="majorHAnsi" w:eastAsia="Times New Roman" w:hAnsiTheme="majorHAnsi"/>
          <w:i/>
          <w:color w:val="000000"/>
        </w:rPr>
        <w:t>Questi sono i 1000 giorni in cui si progetta una bocca sana per tutta la vita e si gettano</w:t>
      </w:r>
      <w:r w:rsidR="006B14ED">
        <w:rPr>
          <w:rFonts w:asciiTheme="majorHAnsi" w:eastAsia="Times New Roman" w:hAnsiTheme="majorHAnsi"/>
          <w:i/>
          <w:color w:val="000000"/>
        </w:rPr>
        <w:t xml:space="preserve"> anche</w:t>
      </w:r>
      <w:r w:rsidRPr="004A1F7D">
        <w:rPr>
          <w:rFonts w:asciiTheme="majorHAnsi" w:eastAsia="Times New Roman" w:hAnsiTheme="majorHAnsi"/>
          <w:i/>
          <w:color w:val="000000"/>
        </w:rPr>
        <w:t xml:space="preserve"> le fondamenta per la salute di tutto l’organismo. </w:t>
      </w:r>
    </w:p>
    <w:p w14:paraId="72B4E477" w14:textId="122B6E19" w:rsidR="00F6160E" w:rsidRPr="004A1F7D" w:rsidRDefault="002B7580" w:rsidP="004A1F7D">
      <w:pPr>
        <w:shd w:val="clear" w:color="auto" w:fill="FFFFFF"/>
        <w:spacing w:line="276" w:lineRule="auto"/>
        <w:jc w:val="both"/>
        <w:rPr>
          <w:rFonts w:asciiTheme="majorHAnsi" w:hAnsiTheme="majorHAnsi" w:cs="Calibri Light"/>
          <w:color w:val="000000"/>
        </w:rPr>
      </w:pPr>
      <w:r>
        <w:rPr>
          <w:rFonts w:cstheme="minorHAnsi"/>
          <w:color w:val="000000" w:themeColor="text1"/>
        </w:rPr>
        <w:t>Senza le opportune attenzioni, i</w:t>
      </w:r>
      <w:r w:rsidR="00D11927">
        <w:rPr>
          <w:rFonts w:cstheme="minorHAnsi"/>
          <w:color w:val="000000" w:themeColor="text1"/>
        </w:rPr>
        <w:t>n</w:t>
      </w:r>
      <w:r w:rsidR="004A1F7D">
        <w:rPr>
          <w:rFonts w:cstheme="minorHAnsi"/>
          <w:color w:val="000000" w:themeColor="text1"/>
        </w:rPr>
        <w:t xml:space="preserve"> </w:t>
      </w:r>
      <w:r w:rsidR="00F6160E" w:rsidRPr="00FE3A3D">
        <w:rPr>
          <w:rFonts w:cstheme="minorHAnsi"/>
          <w:color w:val="000000" w:themeColor="text1"/>
        </w:rPr>
        <w:t>gravidanza</w:t>
      </w:r>
      <w:r w:rsidR="004A1F7D">
        <w:rPr>
          <w:rFonts w:cstheme="minorHAnsi"/>
          <w:color w:val="000000" w:themeColor="text1"/>
        </w:rPr>
        <w:t xml:space="preserve"> </w:t>
      </w:r>
      <w:r w:rsidR="00F6160E" w:rsidRPr="00FE3A3D">
        <w:rPr>
          <w:rFonts w:cstheme="minorHAnsi"/>
          <w:color w:val="000000" w:themeColor="text1"/>
        </w:rPr>
        <w:t xml:space="preserve">si </w:t>
      </w:r>
      <w:r w:rsidR="001C120D">
        <w:rPr>
          <w:rFonts w:cstheme="minorHAnsi"/>
          <w:color w:val="000000" w:themeColor="text1"/>
        </w:rPr>
        <w:t xml:space="preserve">potrebbe </w:t>
      </w:r>
      <w:r w:rsidR="004A1F7D">
        <w:rPr>
          <w:rFonts w:cstheme="minorHAnsi"/>
          <w:color w:val="000000" w:themeColor="text1"/>
        </w:rPr>
        <w:t>verifica</w:t>
      </w:r>
      <w:r w:rsidR="00E326F6">
        <w:rPr>
          <w:rFonts w:cstheme="minorHAnsi"/>
          <w:color w:val="000000" w:themeColor="text1"/>
        </w:rPr>
        <w:t>re</w:t>
      </w:r>
      <w:r w:rsidR="00F6160E" w:rsidRPr="00FE3A3D">
        <w:rPr>
          <w:rFonts w:cstheme="minorHAnsi"/>
          <w:color w:val="000000" w:themeColor="text1"/>
        </w:rPr>
        <w:t xml:space="preserve"> </w:t>
      </w:r>
      <w:r w:rsidR="00F6160E" w:rsidRPr="00FE3A3D">
        <w:rPr>
          <w:rFonts w:cstheme="minorHAnsi"/>
          <w:iCs/>
        </w:rPr>
        <w:t>un aumentato rischio o un aggravamento di patologie a carico dei tessuti parodontali e</w:t>
      </w:r>
      <w:r w:rsidR="00E326F6">
        <w:rPr>
          <w:rFonts w:cstheme="minorHAnsi"/>
          <w:iCs/>
        </w:rPr>
        <w:t>d</w:t>
      </w:r>
      <w:r w:rsidR="00F6160E" w:rsidRPr="00FE3A3D">
        <w:rPr>
          <w:rFonts w:cstheme="minorHAnsi"/>
          <w:iCs/>
        </w:rPr>
        <w:t xml:space="preserve"> una </w:t>
      </w:r>
      <w:r w:rsidR="00F6160E">
        <w:rPr>
          <w:rFonts w:cstheme="minorHAnsi"/>
          <w:iCs/>
        </w:rPr>
        <w:t>maggiore</w:t>
      </w:r>
      <w:r w:rsidR="00F6160E" w:rsidRPr="00FE3A3D">
        <w:rPr>
          <w:rFonts w:cstheme="minorHAnsi"/>
          <w:iCs/>
        </w:rPr>
        <w:t xml:space="preserve"> incidenza di erosione dentale e carie</w:t>
      </w:r>
      <w:r w:rsidR="00E326F6">
        <w:rPr>
          <w:rFonts w:cstheme="minorHAnsi"/>
          <w:iCs/>
        </w:rPr>
        <w:t>. Tali problematiche non si esauriscono esclusivamente a livello del cavo orale</w:t>
      </w:r>
      <w:r w:rsidR="00D11927">
        <w:rPr>
          <w:rFonts w:cstheme="minorHAnsi"/>
        </w:rPr>
        <w:t xml:space="preserve"> </w:t>
      </w:r>
      <w:r w:rsidR="00E326F6">
        <w:rPr>
          <w:rFonts w:cstheme="minorHAnsi"/>
        </w:rPr>
        <w:t xml:space="preserve">ma è documentato come siano correlate </w:t>
      </w:r>
      <w:r w:rsidR="00D11927">
        <w:rPr>
          <w:rFonts w:cstheme="minorHAnsi"/>
        </w:rPr>
        <w:t>con un possibile</w:t>
      </w:r>
      <w:r w:rsidR="006B14ED" w:rsidRPr="00B114AE">
        <w:rPr>
          <w:rFonts w:cstheme="minorHAnsi"/>
        </w:rPr>
        <w:t xml:space="preserve"> aumento </w:t>
      </w:r>
      <w:r w:rsidR="00E326F6">
        <w:rPr>
          <w:rFonts w:cstheme="minorHAnsi"/>
        </w:rPr>
        <w:t>di problematiche</w:t>
      </w:r>
      <w:r w:rsidR="006B14ED" w:rsidRPr="00B114AE">
        <w:rPr>
          <w:rFonts w:cstheme="minorHAnsi"/>
        </w:rPr>
        <w:t xml:space="preserve"> </w:t>
      </w:r>
      <w:r>
        <w:rPr>
          <w:rFonts w:cstheme="minorHAnsi"/>
        </w:rPr>
        <w:t>sistemiche</w:t>
      </w:r>
      <w:r w:rsidR="00B114AE">
        <w:rPr>
          <w:rFonts w:cstheme="minorHAnsi"/>
        </w:rPr>
        <w:t xml:space="preserve"> c</w:t>
      </w:r>
      <w:r w:rsidR="00D11927">
        <w:rPr>
          <w:rFonts w:cstheme="minorHAnsi"/>
        </w:rPr>
        <w:t xml:space="preserve">he </w:t>
      </w:r>
      <w:r w:rsidR="001C120D">
        <w:rPr>
          <w:rFonts w:cstheme="minorHAnsi"/>
        </w:rPr>
        <w:t xml:space="preserve">potrebbero </w:t>
      </w:r>
      <w:r w:rsidR="00D11927">
        <w:rPr>
          <w:rFonts w:cstheme="minorHAnsi"/>
        </w:rPr>
        <w:t>portare a</w:t>
      </w:r>
      <w:r>
        <w:rPr>
          <w:rFonts w:cstheme="minorHAnsi"/>
        </w:rPr>
        <w:t>nche a</w:t>
      </w:r>
      <w:r w:rsidR="00B114AE">
        <w:rPr>
          <w:rFonts w:cstheme="minorHAnsi"/>
        </w:rPr>
        <w:t xml:space="preserve"> parti prematuri</w:t>
      </w:r>
      <w:r w:rsidR="006B14ED" w:rsidRPr="00B114AE">
        <w:rPr>
          <w:rFonts w:cstheme="minorHAnsi"/>
        </w:rPr>
        <w:t xml:space="preserve"> e aborti spontanei.</w:t>
      </w:r>
    </w:p>
    <w:p w14:paraId="09E7592A" w14:textId="77777777" w:rsidR="00146B39" w:rsidRDefault="002F31AF" w:rsidP="00146B39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Inoltre, l</w:t>
      </w:r>
      <w:r w:rsidR="00134D7E" w:rsidRPr="007833B3">
        <w:rPr>
          <w:rFonts w:asciiTheme="majorHAnsi" w:hAnsiTheme="majorHAnsi" w:cstheme="minorHAnsi"/>
        </w:rPr>
        <w:t xml:space="preserve">a nutrizione materna, </w:t>
      </w:r>
      <w:r w:rsidR="00E326F6">
        <w:rPr>
          <w:rFonts w:asciiTheme="majorHAnsi" w:hAnsiTheme="majorHAnsi" w:cstheme="minorHAnsi"/>
        </w:rPr>
        <w:t>corrette</w:t>
      </w:r>
      <w:r w:rsidR="00134D7E" w:rsidRPr="007833B3">
        <w:rPr>
          <w:rFonts w:asciiTheme="majorHAnsi" w:hAnsiTheme="majorHAnsi" w:cstheme="minorHAnsi"/>
        </w:rPr>
        <w:t xml:space="preserve"> pratiche di igiene </w:t>
      </w:r>
      <w:r w:rsidR="00E326F6">
        <w:rPr>
          <w:rFonts w:asciiTheme="majorHAnsi" w:hAnsiTheme="majorHAnsi" w:cstheme="minorHAnsi"/>
        </w:rPr>
        <w:t xml:space="preserve">orale </w:t>
      </w:r>
      <w:r w:rsidR="00134D7E" w:rsidRPr="007833B3">
        <w:rPr>
          <w:rFonts w:asciiTheme="majorHAnsi" w:hAnsiTheme="majorHAnsi" w:cstheme="minorHAnsi"/>
        </w:rPr>
        <w:t xml:space="preserve">e </w:t>
      </w:r>
      <w:r w:rsidR="00E326F6">
        <w:rPr>
          <w:rFonts w:asciiTheme="majorHAnsi" w:hAnsiTheme="majorHAnsi" w:cstheme="minorHAnsi"/>
        </w:rPr>
        <w:t>stili</w:t>
      </w:r>
      <w:r w:rsidR="00134D7E" w:rsidRPr="007833B3">
        <w:rPr>
          <w:rFonts w:asciiTheme="majorHAnsi" w:hAnsiTheme="majorHAnsi" w:cstheme="minorHAnsi"/>
        </w:rPr>
        <w:t xml:space="preserve"> di vita sono i principali elementi che influenzano la salute della madre e del bambino. Livelli adeguati di nutrienti durante i periodi cruciali dello sviluppo fetale possono portare ad una </w:t>
      </w:r>
      <w:r w:rsidR="00134D7E" w:rsidRPr="007D23B6">
        <w:rPr>
          <w:rFonts w:asciiTheme="majorHAnsi" w:hAnsiTheme="majorHAnsi" w:cstheme="minorHAnsi"/>
        </w:rPr>
        <w:t>programmazione ottimale</w:t>
      </w:r>
      <w:r w:rsidR="00134D7E" w:rsidRPr="007833B3">
        <w:rPr>
          <w:rFonts w:asciiTheme="majorHAnsi" w:hAnsiTheme="majorHAnsi" w:cstheme="minorHAnsi"/>
        </w:rPr>
        <w:t xml:space="preserve"> dei tessuti fetali e predisporre il bambino a maggiore protezione nei riguardi di malattie croniche in età avanzata. </w:t>
      </w:r>
    </w:p>
    <w:p w14:paraId="442CB55A" w14:textId="63ADDE6D" w:rsidR="002F31AF" w:rsidRPr="00146B39" w:rsidRDefault="002F31AF" w:rsidP="00146B39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inorHAnsi"/>
        </w:rPr>
      </w:pPr>
      <w:r w:rsidRPr="00146B39">
        <w:rPr>
          <w:rFonts w:asciiTheme="majorHAnsi" w:hAnsiTheme="majorHAnsi" w:cs="Calibri Light"/>
        </w:rPr>
        <w:t>Nel corso del webinar</w:t>
      </w:r>
      <w:r w:rsidR="00146B39">
        <w:rPr>
          <w:rFonts w:asciiTheme="majorHAnsi" w:hAnsiTheme="majorHAnsi" w:cs="Calibri Light"/>
        </w:rPr>
        <w:t>,</w:t>
      </w:r>
      <w:r w:rsidRPr="00146B39">
        <w:rPr>
          <w:rFonts w:asciiTheme="majorHAnsi" w:hAnsiTheme="majorHAnsi" w:cs="Calibri Light"/>
        </w:rPr>
        <w:t xml:space="preserve"> infine</w:t>
      </w:r>
      <w:r w:rsidR="00146B39">
        <w:rPr>
          <w:rFonts w:asciiTheme="majorHAnsi" w:hAnsiTheme="majorHAnsi" w:cs="Calibri Light"/>
        </w:rPr>
        <w:t>,</w:t>
      </w:r>
      <w:r w:rsidRPr="00146B39">
        <w:rPr>
          <w:rFonts w:asciiTheme="majorHAnsi" w:hAnsiTheme="majorHAnsi" w:cs="Calibri Light"/>
        </w:rPr>
        <w:t xml:space="preserve"> affronteremo argomenti fondamentali come la frequenza di </w:t>
      </w:r>
      <w:proofErr w:type="spellStart"/>
      <w:r w:rsidRPr="00146B39">
        <w:rPr>
          <w:rFonts w:asciiTheme="majorHAnsi" w:hAnsiTheme="majorHAnsi" w:cs="Calibri Light"/>
        </w:rPr>
        <w:t>spazzolamento</w:t>
      </w:r>
      <w:proofErr w:type="spellEnd"/>
      <w:r w:rsidRPr="00146B39">
        <w:rPr>
          <w:rFonts w:asciiTheme="majorHAnsi" w:hAnsiTheme="majorHAnsi" w:cs="Calibri Light"/>
        </w:rPr>
        <w:t xml:space="preserve">, il corretto utilizzo del ciuccio e del biberon in relazione alle importanti problematiche dentali, di crescita cranio facciale ed interazione con le </w:t>
      </w:r>
      <w:proofErr w:type="spellStart"/>
      <w:r w:rsidRPr="00146B39">
        <w:rPr>
          <w:rFonts w:asciiTheme="majorHAnsi" w:hAnsiTheme="majorHAnsi" w:cs="Calibri Light"/>
        </w:rPr>
        <w:t>malocclusioni</w:t>
      </w:r>
      <w:proofErr w:type="spellEnd"/>
      <w:r w:rsidRPr="00146B39">
        <w:rPr>
          <w:rFonts w:asciiTheme="majorHAnsi" w:hAnsiTheme="majorHAnsi" w:cs="Calibri Light"/>
        </w:rPr>
        <w:t xml:space="preserve">. Tutto questo </w:t>
      </w:r>
      <w:r w:rsidR="00146B39" w:rsidRPr="00146B39">
        <w:rPr>
          <w:rFonts w:asciiTheme="majorHAnsi" w:hAnsiTheme="majorHAnsi" w:cs="Calibri Light"/>
        </w:rPr>
        <w:t>affinché</w:t>
      </w:r>
      <w:r w:rsidRPr="00146B39">
        <w:rPr>
          <w:rFonts w:asciiTheme="majorHAnsi" w:hAnsiTheme="majorHAnsi" w:cs="Calibri Light"/>
        </w:rPr>
        <w:t xml:space="preserve"> tutti i professionisti coinvolti in questi </w:t>
      </w:r>
      <w:proofErr w:type="gramStart"/>
      <w:r w:rsidRPr="00146B39">
        <w:rPr>
          <w:rFonts w:asciiTheme="majorHAnsi" w:hAnsiTheme="majorHAnsi" w:cs="Calibri Light"/>
        </w:rPr>
        <w:t>1000</w:t>
      </w:r>
      <w:proofErr w:type="gramEnd"/>
      <w:r w:rsidRPr="00146B39">
        <w:rPr>
          <w:rFonts w:asciiTheme="majorHAnsi" w:hAnsiTheme="majorHAnsi" w:cs="Calibri Light"/>
        </w:rPr>
        <w:t xml:space="preserve"> giorni </w:t>
      </w:r>
      <w:r w:rsidR="001C120D">
        <w:rPr>
          <w:rFonts w:asciiTheme="majorHAnsi" w:hAnsiTheme="majorHAnsi" w:cs="Calibri Light"/>
        </w:rPr>
        <w:t>possano dare</w:t>
      </w:r>
      <w:r w:rsidR="001C120D" w:rsidRPr="00146B39">
        <w:rPr>
          <w:rFonts w:asciiTheme="majorHAnsi" w:hAnsiTheme="majorHAnsi" w:cs="Calibri Light"/>
        </w:rPr>
        <w:t xml:space="preserve"> </w:t>
      </w:r>
      <w:r w:rsidRPr="00146B39">
        <w:rPr>
          <w:rFonts w:asciiTheme="majorHAnsi" w:hAnsiTheme="majorHAnsi" w:cs="Calibri Light"/>
        </w:rPr>
        <w:t>i corretti consigli alle giovani donne illustrando quali criticità</w:t>
      </w:r>
      <w:r w:rsidR="00146B39">
        <w:rPr>
          <w:rFonts w:asciiTheme="majorHAnsi" w:hAnsiTheme="majorHAnsi" w:cs="Calibri Light"/>
        </w:rPr>
        <w:t xml:space="preserve"> </w:t>
      </w:r>
      <w:r w:rsidRPr="00146B39">
        <w:rPr>
          <w:rFonts w:asciiTheme="majorHAnsi" w:hAnsiTheme="majorHAnsi" w:cs="Calibri Light"/>
        </w:rPr>
        <w:t>possono presentars</w:t>
      </w:r>
      <w:r w:rsidR="002B7580" w:rsidRPr="00146B39">
        <w:rPr>
          <w:rFonts w:asciiTheme="majorHAnsi" w:hAnsiTheme="majorHAnsi" w:cs="Calibri Light"/>
        </w:rPr>
        <w:t>i e quali attenzioni sono necessarie per affrontare al meglio</w:t>
      </w:r>
      <w:r w:rsidRPr="00146B39">
        <w:rPr>
          <w:rFonts w:asciiTheme="majorHAnsi" w:hAnsiTheme="majorHAnsi" w:cs="Calibri Light"/>
        </w:rPr>
        <w:t xml:space="preserve"> la gravidanza e i primi anni di vita del bambino.</w:t>
      </w:r>
    </w:p>
    <w:p w14:paraId="23102167" w14:textId="77777777" w:rsidR="004E7852" w:rsidRPr="008B2506" w:rsidRDefault="004E7852" w:rsidP="004E7852">
      <w:pPr>
        <w:shd w:val="clear" w:color="auto" w:fill="FFFFFF"/>
        <w:rPr>
          <w:rFonts w:ascii="Segoe UI" w:eastAsia="Times New Roman" w:hAnsi="Segoe UI" w:cs="Segoe UI"/>
          <w:color w:val="5B616B"/>
        </w:rPr>
      </w:pPr>
    </w:p>
    <w:p w14:paraId="4043A8DB" w14:textId="77777777" w:rsidR="004A1F7D" w:rsidRPr="008B2506" w:rsidRDefault="004A1F7D" w:rsidP="00957CE2">
      <w:pPr>
        <w:spacing w:line="276" w:lineRule="auto"/>
        <w:jc w:val="both"/>
        <w:rPr>
          <w:rFonts w:asciiTheme="majorHAnsi" w:hAnsiTheme="majorHAnsi" w:cs="Calibri Light"/>
        </w:rPr>
      </w:pPr>
    </w:p>
    <w:sectPr w:rsidR="004A1F7D" w:rsidRPr="008B2506" w:rsidSect="005751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D6038"/>
    <w:multiLevelType w:val="hybridMultilevel"/>
    <w:tmpl w:val="2A508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AC6"/>
    <w:multiLevelType w:val="hybridMultilevel"/>
    <w:tmpl w:val="4FF49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9416C"/>
    <w:multiLevelType w:val="hybridMultilevel"/>
    <w:tmpl w:val="29366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6CB1"/>
    <w:multiLevelType w:val="multilevel"/>
    <w:tmpl w:val="FDB8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D1B40"/>
    <w:multiLevelType w:val="multilevel"/>
    <w:tmpl w:val="4A8E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A5943"/>
    <w:multiLevelType w:val="multilevel"/>
    <w:tmpl w:val="74B8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F7A68"/>
    <w:multiLevelType w:val="hybridMultilevel"/>
    <w:tmpl w:val="AA90D226"/>
    <w:lvl w:ilvl="0" w:tplc="9F96E3E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A7875"/>
    <w:multiLevelType w:val="hybridMultilevel"/>
    <w:tmpl w:val="3D46F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44985"/>
    <w:multiLevelType w:val="multilevel"/>
    <w:tmpl w:val="6424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1088B"/>
    <w:multiLevelType w:val="multilevel"/>
    <w:tmpl w:val="E71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03E76"/>
    <w:multiLevelType w:val="hybridMultilevel"/>
    <w:tmpl w:val="C3A06330"/>
    <w:lvl w:ilvl="0" w:tplc="890895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57452"/>
    <w:multiLevelType w:val="hybridMultilevel"/>
    <w:tmpl w:val="895857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7F37A1"/>
    <w:multiLevelType w:val="multilevel"/>
    <w:tmpl w:val="9FE0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45"/>
    <w:rsid w:val="00000F2D"/>
    <w:rsid w:val="00001004"/>
    <w:rsid w:val="0000481B"/>
    <w:rsid w:val="00024896"/>
    <w:rsid w:val="0005404D"/>
    <w:rsid w:val="000568AD"/>
    <w:rsid w:val="000629A5"/>
    <w:rsid w:val="00063799"/>
    <w:rsid w:val="00070231"/>
    <w:rsid w:val="000763D0"/>
    <w:rsid w:val="00083268"/>
    <w:rsid w:val="000847A4"/>
    <w:rsid w:val="00094620"/>
    <w:rsid w:val="000C4CA2"/>
    <w:rsid w:val="000D5ABF"/>
    <w:rsid w:val="000E430E"/>
    <w:rsid w:val="000F3E96"/>
    <w:rsid w:val="001000E0"/>
    <w:rsid w:val="001155D3"/>
    <w:rsid w:val="00120114"/>
    <w:rsid w:val="0012745F"/>
    <w:rsid w:val="00132C22"/>
    <w:rsid w:val="00134D7E"/>
    <w:rsid w:val="001400CE"/>
    <w:rsid w:val="0014092D"/>
    <w:rsid w:val="0014490A"/>
    <w:rsid w:val="00145905"/>
    <w:rsid w:val="00146732"/>
    <w:rsid w:val="00146B39"/>
    <w:rsid w:val="00146F31"/>
    <w:rsid w:val="001551E5"/>
    <w:rsid w:val="001652A0"/>
    <w:rsid w:val="00167E14"/>
    <w:rsid w:val="0017087C"/>
    <w:rsid w:val="00183714"/>
    <w:rsid w:val="001A206D"/>
    <w:rsid w:val="001A30A2"/>
    <w:rsid w:val="001B6145"/>
    <w:rsid w:val="001C120D"/>
    <w:rsid w:val="001C20D2"/>
    <w:rsid w:val="001C5C3F"/>
    <w:rsid w:val="001F682E"/>
    <w:rsid w:val="00203C75"/>
    <w:rsid w:val="0021119F"/>
    <w:rsid w:val="00213051"/>
    <w:rsid w:val="00213E2E"/>
    <w:rsid w:val="0023045A"/>
    <w:rsid w:val="00232B4F"/>
    <w:rsid w:val="0023455A"/>
    <w:rsid w:val="00246F9B"/>
    <w:rsid w:val="00250F5D"/>
    <w:rsid w:val="00252194"/>
    <w:rsid w:val="00254B87"/>
    <w:rsid w:val="00271FE2"/>
    <w:rsid w:val="00272709"/>
    <w:rsid w:val="0027486A"/>
    <w:rsid w:val="0028442A"/>
    <w:rsid w:val="002902AF"/>
    <w:rsid w:val="00293223"/>
    <w:rsid w:val="00293A03"/>
    <w:rsid w:val="002A0C14"/>
    <w:rsid w:val="002A13C1"/>
    <w:rsid w:val="002B3037"/>
    <w:rsid w:val="002B7580"/>
    <w:rsid w:val="002C2794"/>
    <w:rsid w:val="002E1ABF"/>
    <w:rsid w:val="002F1862"/>
    <w:rsid w:val="002F2441"/>
    <w:rsid w:val="002F31AF"/>
    <w:rsid w:val="003030F6"/>
    <w:rsid w:val="00303CCE"/>
    <w:rsid w:val="00307EAE"/>
    <w:rsid w:val="00311FD8"/>
    <w:rsid w:val="00317701"/>
    <w:rsid w:val="0034587C"/>
    <w:rsid w:val="003552F9"/>
    <w:rsid w:val="003648CE"/>
    <w:rsid w:val="0036597C"/>
    <w:rsid w:val="003672DD"/>
    <w:rsid w:val="00375BD7"/>
    <w:rsid w:val="00375E85"/>
    <w:rsid w:val="00377177"/>
    <w:rsid w:val="00383EE9"/>
    <w:rsid w:val="00384692"/>
    <w:rsid w:val="0038709B"/>
    <w:rsid w:val="0038714F"/>
    <w:rsid w:val="00395D41"/>
    <w:rsid w:val="003A1378"/>
    <w:rsid w:val="003A1CB5"/>
    <w:rsid w:val="003B33D3"/>
    <w:rsid w:val="003B499E"/>
    <w:rsid w:val="003D1B2E"/>
    <w:rsid w:val="003D3A8A"/>
    <w:rsid w:val="003E5FBA"/>
    <w:rsid w:val="003F0DF5"/>
    <w:rsid w:val="003F1FBA"/>
    <w:rsid w:val="0040611A"/>
    <w:rsid w:val="0040689E"/>
    <w:rsid w:val="00412FAD"/>
    <w:rsid w:val="0041406E"/>
    <w:rsid w:val="004245FD"/>
    <w:rsid w:val="004271F8"/>
    <w:rsid w:val="00427AB5"/>
    <w:rsid w:val="00440385"/>
    <w:rsid w:val="00442E93"/>
    <w:rsid w:val="004522E6"/>
    <w:rsid w:val="00454B52"/>
    <w:rsid w:val="00462E06"/>
    <w:rsid w:val="004705DB"/>
    <w:rsid w:val="00480980"/>
    <w:rsid w:val="00491FCF"/>
    <w:rsid w:val="0049466A"/>
    <w:rsid w:val="004968BA"/>
    <w:rsid w:val="004A1F7D"/>
    <w:rsid w:val="004A7A5D"/>
    <w:rsid w:val="004B37EC"/>
    <w:rsid w:val="004B78C2"/>
    <w:rsid w:val="004E1773"/>
    <w:rsid w:val="004E7852"/>
    <w:rsid w:val="0050060F"/>
    <w:rsid w:val="00504C4C"/>
    <w:rsid w:val="00516F89"/>
    <w:rsid w:val="00524716"/>
    <w:rsid w:val="00524B38"/>
    <w:rsid w:val="00525DDA"/>
    <w:rsid w:val="005417BA"/>
    <w:rsid w:val="00562E9D"/>
    <w:rsid w:val="00574CFA"/>
    <w:rsid w:val="00575174"/>
    <w:rsid w:val="00582206"/>
    <w:rsid w:val="005A06F8"/>
    <w:rsid w:val="005B0F16"/>
    <w:rsid w:val="005B235B"/>
    <w:rsid w:val="005D29B0"/>
    <w:rsid w:val="005E1130"/>
    <w:rsid w:val="005E498B"/>
    <w:rsid w:val="00626614"/>
    <w:rsid w:val="006270FC"/>
    <w:rsid w:val="00627887"/>
    <w:rsid w:val="00634298"/>
    <w:rsid w:val="00646718"/>
    <w:rsid w:val="00646EB7"/>
    <w:rsid w:val="00652ED3"/>
    <w:rsid w:val="006714CF"/>
    <w:rsid w:val="00685824"/>
    <w:rsid w:val="00697113"/>
    <w:rsid w:val="006B14ED"/>
    <w:rsid w:val="006B4499"/>
    <w:rsid w:val="006B78AD"/>
    <w:rsid w:val="006C2C7C"/>
    <w:rsid w:val="006D0969"/>
    <w:rsid w:val="006D1F95"/>
    <w:rsid w:val="006F1105"/>
    <w:rsid w:val="00700CFA"/>
    <w:rsid w:val="00702B44"/>
    <w:rsid w:val="00703165"/>
    <w:rsid w:val="00704640"/>
    <w:rsid w:val="00705B82"/>
    <w:rsid w:val="00706B81"/>
    <w:rsid w:val="00710D96"/>
    <w:rsid w:val="00717F64"/>
    <w:rsid w:val="007215F4"/>
    <w:rsid w:val="00742EAA"/>
    <w:rsid w:val="007443F4"/>
    <w:rsid w:val="007622F4"/>
    <w:rsid w:val="007741EB"/>
    <w:rsid w:val="00776CBF"/>
    <w:rsid w:val="0077717B"/>
    <w:rsid w:val="0078265E"/>
    <w:rsid w:val="007826A3"/>
    <w:rsid w:val="00783346"/>
    <w:rsid w:val="007833B3"/>
    <w:rsid w:val="0078791D"/>
    <w:rsid w:val="007976AB"/>
    <w:rsid w:val="007A42D8"/>
    <w:rsid w:val="007A4779"/>
    <w:rsid w:val="007C5346"/>
    <w:rsid w:val="007C5FC3"/>
    <w:rsid w:val="007C7F0B"/>
    <w:rsid w:val="007D23B6"/>
    <w:rsid w:val="007D5F66"/>
    <w:rsid w:val="007E6A7C"/>
    <w:rsid w:val="007F055E"/>
    <w:rsid w:val="007F14DE"/>
    <w:rsid w:val="007F2A35"/>
    <w:rsid w:val="0080070C"/>
    <w:rsid w:val="00801195"/>
    <w:rsid w:val="00801A9C"/>
    <w:rsid w:val="0083244B"/>
    <w:rsid w:val="00842457"/>
    <w:rsid w:val="008514BE"/>
    <w:rsid w:val="00854E83"/>
    <w:rsid w:val="00867434"/>
    <w:rsid w:val="008717E6"/>
    <w:rsid w:val="008853B4"/>
    <w:rsid w:val="00896235"/>
    <w:rsid w:val="008A1B25"/>
    <w:rsid w:val="008A2641"/>
    <w:rsid w:val="008B2506"/>
    <w:rsid w:val="008B4B79"/>
    <w:rsid w:val="008C165E"/>
    <w:rsid w:val="008D0428"/>
    <w:rsid w:val="008D6567"/>
    <w:rsid w:val="008D73CF"/>
    <w:rsid w:val="008F0B2D"/>
    <w:rsid w:val="00903FF4"/>
    <w:rsid w:val="00914425"/>
    <w:rsid w:val="00914D26"/>
    <w:rsid w:val="00926779"/>
    <w:rsid w:val="00932389"/>
    <w:rsid w:val="00940597"/>
    <w:rsid w:val="00943D06"/>
    <w:rsid w:val="00943F9A"/>
    <w:rsid w:val="009460DB"/>
    <w:rsid w:val="009471F2"/>
    <w:rsid w:val="009571E7"/>
    <w:rsid w:val="00957CE2"/>
    <w:rsid w:val="00963176"/>
    <w:rsid w:val="00965885"/>
    <w:rsid w:val="00966E45"/>
    <w:rsid w:val="00972E91"/>
    <w:rsid w:val="00975C72"/>
    <w:rsid w:val="00976866"/>
    <w:rsid w:val="00991595"/>
    <w:rsid w:val="009A7C95"/>
    <w:rsid w:val="009A7F49"/>
    <w:rsid w:val="009B11BD"/>
    <w:rsid w:val="009C1FD5"/>
    <w:rsid w:val="009C5EE1"/>
    <w:rsid w:val="009C5F71"/>
    <w:rsid w:val="009D1E1B"/>
    <w:rsid w:val="009E1B5F"/>
    <w:rsid w:val="009E69B7"/>
    <w:rsid w:val="009F1B85"/>
    <w:rsid w:val="009F78AC"/>
    <w:rsid w:val="00A018EC"/>
    <w:rsid w:val="00A13B1A"/>
    <w:rsid w:val="00A146FC"/>
    <w:rsid w:val="00A17121"/>
    <w:rsid w:val="00A2278C"/>
    <w:rsid w:val="00A31DB6"/>
    <w:rsid w:val="00A41D9C"/>
    <w:rsid w:val="00A45E1B"/>
    <w:rsid w:val="00A4759B"/>
    <w:rsid w:val="00A521DA"/>
    <w:rsid w:val="00A6135C"/>
    <w:rsid w:val="00A63CAD"/>
    <w:rsid w:val="00A652C8"/>
    <w:rsid w:val="00A670D7"/>
    <w:rsid w:val="00A80A5E"/>
    <w:rsid w:val="00A8474D"/>
    <w:rsid w:val="00A95671"/>
    <w:rsid w:val="00AB50F7"/>
    <w:rsid w:val="00AC2135"/>
    <w:rsid w:val="00AC441E"/>
    <w:rsid w:val="00AD141E"/>
    <w:rsid w:val="00AD63A1"/>
    <w:rsid w:val="00AE49EE"/>
    <w:rsid w:val="00AF2087"/>
    <w:rsid w:val="00B05CD5"/>
    <w:rsid w:val="00B114AE"/>
    <w:rsid w:val="00B1160F"/>
    <w:rsid w:val="00B20D43"/>
    <w:rsid w:val="00B231BC"/>
    <w:rsid w:val="00B25C97"/>
    <w:rsid w:val="00B30ED7"/>
    <w:rsid w:val="00B37B9B"/>
    <w:rsid w:val="00B41984"/>
    <w:rsid w:val="00B5631F"/>
    <w:rsid w:val="00B66B08"/>
    <w:rsid w:val="00B67C53"/>
    <w:rsid w:val="00B86590"/>
    <w:rsid w:val="00B951E2"/>
    <w:rsid w:val="00B97ED8"/>
    <w:rsid w:val="00BA3EEB"/>
    <w:rsid w:val="00BB1DED"/>
    <w:rsid w:val="00BB51CD"/>
    <w:rsid w:val="00BC0534"/>
    <w:rsid w:val="00BC2CE6"/>
    <w:rsid w:val="00BC3F6E"/>
    <w:rsid w:val="00BD3318"/>
    <w:rsid w:val="00BD659F"/>
    <w:rsid w:val="00BD6E37"/>
    <w:rsid w:val="00BF5A85"/>
    <w:rsid w:val="00BF600C"/>
    <w:rsid w:val="00C00B4A"/>
    <w:rsid w:val="00C10A7E"/>
    <w:rsid w:val="00C10F83"/>
    <w:rsid w:val="00C17348"/>
    <w:rsid w:val="00C2322F"/>
    <w:rsid w:val="00C24838"/>
    <w:rsid w:val="00C252C9"/>
    <w:rsid w:val="00C349FB"/>
    <w:rsid w:val="00C35C98"/>
    <w:rsid w:val="00C361EC"/>
    <w:rsid w:val="00C40247"/>
    <w:rsid w:val="00C541D1"/>
    <w:rsid w:val="00C576DE"/>
    <w:rsid w:val="00C633B5"/>
    <w:rsid w:val="00C66356"/>
    <w:rsid w:val="00C66D1A"/>
    <w:rsid w:val="00C677E0"/>
    <w:rsid w:val="00C72149"/>
    <w:rsid w:val="00C73662"/>
    <w:rsid w:val="00C87F9F"/>
    <w:rsid w:val="00C9205F"/>
    <w:rsid w:val="00C961E9"/>
    <w:rsid w:val="00CA367D"/>
    <w:rsid w:val="00CB4394"/>
    <w:rsid w:val="00CC0D0B"/>
    <w:rsid w:val="00CE14E9"/>
    <w:rsid w:val="00CF2028"/>
    <w:rsid w:val="00CF218A"/>
    <w:rsid w:val="00CF2825"/>
    <w:rsid w:val="00D1040E"/>
    <w:rsid w:val="00D10C57"/>
    <w:rsid w:val="00D11927"/>
    <w:rsid w:val="00D335CE"/>
    <w:rsid w:val="00D35CA3"/>
    <w:rsid w:val="00D4156B"/>
    <w:rsid w:val="00D42BF6"/>
    <w:rsid w:val="00D42EF5"/>
    <w:rsid w:val="00D43B4C"/>
    <w:rsid w:val="00D44748"/>
    <w:rsid w:val="00D50B64"/>
    <w:rsid w:val="00D5723F"/>
    <w:rsid w:val="00D62426"/>
    <w:rsid w:val="00D62681"/>
    <w:rsid w:val="00D64968"/>
    <w:rsid w:val="00D93EB7"/>
    <w:rsid w:val="00DA5707"/>
    <w:rsid w:val="00DA6485"/>
    <w:rsid w:val="00DB61A2"/>
    <w:rsid w:val="00DC43DF"/>
    <w:rsid w:val="00DC6A44"/>
    <w:rsid w:val="00DC6DC3"/>
    <w:rsid w:val="00DE1E1A"/>
    <w:rsid w:val="00E0223A"/>
    <w:rsid w:val="00E17CBC"/>
    <w:rsid w:val="00E326F6"/>
    <w:rsid w:val="00E40DB9"/>
    <w:rsid w:val="00E67BA0"/>
    <w:rsid w:val="00E713EC"/>
    <w:rsid w:val="00E76D4C"/>
    <w:rsid w:val="00E770BC"/>
    <w:rsid w:val="00E81DEB"/>
    <w:rsid w:val="00E92F4A"/>
    <w:rsid w:val="00EA2753"/>
    <w:rsid w:val="00EA7634"/>
    <w:rsid w:val="00EB2253"/>
    <w:rsid w:val="00EB65B5"/>
    <w:rsid w:val="00EC0CF3"/>
    <w:rsid w:val="00ED3979"/>
    <w:rsid w:val="00ED5A2E"/>
    <w:rsid w:val="00ED7DFB"/>
    <w:rsid w:val="00EE1AD2"/>
    <w:rsid w:val="00EF6606"/>
    <w:rsid w:val="00F05E39"/>
    <w:rsid w:val="00F1348D"/>
    <w:rsid w:val="00F14C83"/>
    <w:rsid w:val="00F221F2"/>
    <w:rsid w:val="00F31AB7"/>
    <w:rsid w:val="00F36D8A"/>
    <w:rsid w:val="00F42327"/>
    <w:rsid w:val="00F461C4"/>
    <w:rsid w:val="00F507FE"/>
    <w:rsid w:val="00F5566C"/>
    <w:rsid w:val="00F6160E"/>
    <w:rsid w:val="00F64BDF"/>
    <w:rsid w:val="00F72A35"/>
    <w:rsid w:val="00F819A5"/>
    <w:rsid w:val="00F834DD"/>
    <w:rsid w:val="00F85A19"/>
    <w:rsid w:val="00F8628D"/>
    <w:rsid w:val="00F86F2D"/>
    <w:rsid w:val="00F90EC5"/>
    <w:rsid w:val="00F94113"/>
    <w:rsid w:val="00FA170F"/>
    <w:rsid w:val="00FA734F"/>
    <w:rsid w:val="00FB00C6"/>
    <w:rsid w:val="00FB295F"/>
    <w:rsid w:val="00FB5605"/>
    <w:rsid w:val="00FB575D"/>
    <w:rsid w:val="00FC243A"/>
    <w:rsid w:val="00FC2652"/>
    <w:rsid w:val="00FC47A6"/>
    <w:rsid w:val="00FD318D"/>
    <w:rsid w:val="00FD496E"/>
    <w:rsid w:val="00FD7A74"/>
    <w:rsid w:val="00FF350A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786D9"/>
  <w14:defaultImageDpi w14:val="300"/>
  <w15:docId w15:val="{DBA88E1E-DA4A-4AD6-85BB-4DC646A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06E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A1F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E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8B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8BA"/>
    <w:rPr>
      <w:rFonts w:ascii="Lucida Grande" w:hAnsi="Lucida Grande" w:cs="Lucida Grande"/>
      <w:sz w:val="18"/>
      <w:szCs w:val="18"/>
      <w:lang w:val="es-ES_tradn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61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61A2"/>
    <w:rPr>
      <w:i/>
      <w:iCs/>
      <w:color w:val="4F81BD" w:themeColor="accent1"/>
      <w:lang w:val="es-ES_tradnl"/>
    </w:rPr>
  </w:style>
  <w:style w:type="character" w:customStyle="1" w:styleId="titolo2carattere">
    <w:name w:val="titolo2carattere"/>
    <w:basedOn w:val="Carpredefinitoparagrafo"/>
    <w:rsid w:val="00E713EC"/>
  </w:style>
  <w:style w:type="paragraph" w:styleId="Revisione">
    <w:name w:val="Revision"/>
    <w:hidden/>
    <w:uiPriority w:val="99"/>
    <w:semiHidden/>
    <w:rsid w:val="006B4499"/>
    <w:rPr>
      <w:lang w:val="es-ES_tradn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1F7D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1F7D"/>
    <w:rPr>
      <w:rFonts w:eastAsiaTheme="minorHAnsi"/>
      <w:i/>
      <w:iCs/>
      <w:color w:val="404040" w:themeColor="text1" w:themeTint="BF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1F7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A1F7D"/>
    <w:rPr>
      <w:color w:val="0000FF"/>
      <w:u w:val="single"/>
    </w:rPr>
  </w:style>
  <w:style w:type="character" w:customStyle="1" w:styleId="period">
    <w:name w:val="period"/>
    <w:basedOn w:val="Carpredefinitoparagrafo"/>
    <w:rsid w:val="004A1F7D"/>
  </w:style>
  <w:style w:type="character" w:customStyle="1" w:styleId="cit">
    <w:name w:val="cit"/>
    <w:basedOn w:val="Carpredefinitoparagrafo"/>
    <w:rsid w:val="004A1F7D"/>
  </w:style>
  <w:style w:type="character" w:customStyle="1" w:styleId="citation-doi">
    <w:name w:val="citation-doi"/>
    <w:basedOn w:val="Carpredefinitoparagrafo"/>
    <w:rsid w:val="004A1F7D"/>
  </w:style>
  <w:style w:type="character" w:customStyle="1" w:styleId="authors-list-item">
    <w:name w:val="authors-list-item"/>
    <w:basedOn w:val="Carpredefinitoparagrafo"/>
    <w:rsid w:val="004A1F7D"/>
  </w:style>
  <w:style w:type="character" w:customStyle="1" w:styleId="author-sup-separator">
    <w:name w:val="author-sup-separator"/>
    <w:basedOn w:val="Carpredefinitoparagrafo"/>
    <w:rsid w:val="004A1F7D"/>
  </w:style>
  <w:style w:type="character" w:customStyle="1" w:styleId="comma">
    <w:name w:val="comma"/>
    <w:basedOn w:val="Carpredefinitoparagrafo"/>
    <w:rsid w:val="004A1F7D"/>
  </w:style>
  <w:style w:type="character" w:customStyle="1" w:styleId="s1">
    <w:name w:val="s1"/>
    <w:basedOn w:val="Carpredefinitoparagrafo"/>
    <w:rsid w:val="002902AF"/>
  </w:style>
  <w:style w:type="character" w:styleId="Collegamentovisitato">
    <w:name w:val="FollowedHyperlink"/>
    <w:basedOn w:val="Carpredefinitoparagrafo"/>
    <w:uiPriority w:val="99"/>
    <w:semiHidden/>
    <w:unhideWhenUsed/>
    <w:rsid w:val="006B14ED"/>
    <w:rPr>
      <w:color w:val="800080" w:themeColor="followedHyperlink"/>
      <w:u w:val="single"/>
    </w:rPr>
  </w:style>
  <w:style w:type="character" w:customStyle="1" w:styleId="docsum-authors">
    <w:name w:val="docsum-authors"/>
    <w:basedOn w:val="Carpredefinitoparagrafo"/>
    <w:rsid w:val="006B14ED"/>
  </w:style>
  <w:style w:type="character" w:customStyle="1" w:styleId="docsum-journal-citation">
    <w:name w:val="docsum-journal-citation"/>
    <w:basedOn w:val="Carpredefinitoparagrafo"/>
    <w:rsid w:val="006B14ED"/>
  </w:style>
  <w:style w:type="character" w:customStyle="1" w:styleId="citation-part">
    <w:name w:val="citation-part"/>
    <w:basedOn w:val="Carpredefinitoparagrafo"/>
    <w:rsid w:val="006B14ED"/>
  </w:style>
  <w:style w:type="character" w:customStyle="1" w:styleId="docsum-pmid">
    <w:name w:val="docsum-pmid"/>
    <w:basedOn w:val="Carpredefinitoparagrafo"/>
    <w:rsid w:val="006B14ED"/>
  </w:style>
  <w:style w:type="character" w:customStyle="1" w:styleId="free-resources">
    <w:name w:val="free-resources"/>
    <w:basedOn w:val="Carpredefinitoparagrafo"/>
    <w:rsid w:val="006B14ED"/>
  </w:style>
  <w:style w:type="character" w:customStyle="1" w:styleId="position-number">
    <w:name w:val="position-number"/>
    <w:basedOn w:val="Carpredefinitoparagrafo"/>
    <w:rsid w:val="006B14ED"/>
  </w:style>
  <w:style w:type="paragraph" w:styleId="Titolo">
    <w:name w:val="Title"/>
    <w:basedOn w:val="Normale"/>
    <w:next w:val="Normale"/>
    <w:link w:val="TitoloCarattere"/>
    <w:uiPriority w:val="10"/>
    <w:qFormat/>
    <w:rsid w:val="00250F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0F5D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0F5D"/>
    <w:rPr>
      <w:color w:val="5A5A5A" w:themeColor="text1" w:themeTint="A5"/>
      <w:spacing w:val="15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1C12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12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120D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12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120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0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839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4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9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8A79-5AE6-4F5D-A328-F11D5305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Magliulo, Silvia</cp:lastModifiedBy>
  <cp:revision>2</cp:revision>
  <dcterms:created xsi:type="dcterms:W3CDTF">2021-04-30T15:18:00Z</dcterms:created>
  <dcterms:modified xsi:type="dcterms:W3CDTF">2021-04-30T15:18:00Z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efafa73e-1ada-36e8-a4c3-4599aa9ed92b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